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942" w:val="left" w:leader="none"/>
        </w:tabs>
        <w:spacing w:line="240" w:lineRule="auto"/>
        <w:ind w:left="249" w:right="0" w:firstLine="0"/>
        <w:rPr>
          <w:sz w:val="20"/>
        </w:rPr>
      </w:pPr>
      <w:r>
        <w:rPr>
          <w:position w:val="6"/>
          <w:sz w:val="20"/>
        </w:rPr>
        <w:drawing>
          <wp:inline distT="0" distB="0" distL="0" distR="0">
            <wp:extent cx="1818473" cy="6492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8473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</w:r>
      <w:r>
        <w:rPr>
          <w:position w:val="6"/>
          <w:sz w:val="20"/>
        </w:rPr>
        <w:tab/>
      </w:r>
      <w:r>
        <w:rPr>
          <w:sz w:val="20"/>
        </w:rPr>
        <w:drawing>
          <wp:inline distT="0" distB="0" distL="0" distR="0">
            <wp:extent cx="2266258" cy="72390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258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 w:firstLine="0"/>
        <w:rPr>
          <w:sz w:val="3"/>
        </w:rPr>
      </w:pPr>
    </w:p>
    <w:tbl>
      <w:tblPr>
        <w:tblW w:w="0" w:type="auto"/>
        <w:jc w:val="left"/>
        <w:tblInd w:w="12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8"/>
        <w:gridCol w:w="5429"/>
        <w:gridCol w:w="1918"/>
      </w:tblGrid>
      <w:tr>
        <w:trPr>
          <w:trHeight w:val="497" w:hRule="atLeast"/>
        </w:trPr>
        <w:tc>
          <w:tcPr>
            <w:tcW w:w="3358" w:type="dxa"/>
          </w:tcPr>
          <w:p>
            <w:pPr>
              <w:pStyle w:val="TableParagraph"/>
              <w:spacing w:before="3"/>
              <w:ind w:left="0"/>
              <w:jc w:val="left"/>
              <w:rPr>
                <w:sz w:val="5"/>
              </w:rPr>
            </w:pPr>
          </w:p>
          <w:p>
            <w:pPr>
              <w:pStyle w:val="TableParagraph"/>
              <w:spacing w:before="0"/>
              <w:ind w:left="814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84998" cy="230124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998" cy="230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429" w:type="dxa"/>
          </w:tcPr>
          <w:p>
            <w:pPr>
              <w:pStyle w:val="TableParagraph"/>
              <w:ind w:right="3"/>
              <w:rPr>
                <w:sz w:val="20"/>
              </w:rPr>
            </w:pPr>
            <w:r>
              <w:rPr>
                <w:sz w:val="20"/>
              </w:rPr>
              <w:t>ГОТМАР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ЕООД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Съединение</w:t>
            </w:r>
          </w:p>
        </w:tc>
        <w:tc>
          <w:tcPr>
            <w:tcW w:w="1918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466" w:hRule="atLeast"/>
        </w:trPr>
        <w:tc>
          <w:tcPr>
            <w:tcW w:w="3358" w:type="dxa"/>
          </w:tcPr>
          <w:p>
            <w:pPr>
              <w:pStyle w:val="TableParagraph"/>
              <w:ind w:left="8" w:right="1"/>
              <w:rPr>
                <w:sz w:val="20"/>
              </w:rPr>
            </w:pPr>
            <w:r>
              <w:rPr>
                <w:sz w:val="20"/>
              </w:rPr>
              <w:t>БДС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50001:2018</w:t>
            </w:r>
          </w:p>
        </w:tc>
        <w:tc>
          <w:tcPr>
            <w:tcW w:w="542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ЕНЕРГИЯТА</w:t>
            </w:r>
          </w:p>
        </w:tc>
        <w:tc>
          <w:tcPr>
            <w:tcW w:w="1918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z w:val="20"/>
              </w:rPr>
              <w:t>Версия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01</w:t>
            </w:r>
          </w:p>
        </w:tc>
      </w:tr>
      <w:tr>
        <w:trPr>
          <w:trHeight w:val="531" w:hRule="atLeast"/>
        </w:trPr>
        <w:tc>
          <w:tcPr>
            <w:tcW w:w="3358" w:type="dxa"/>
          </w:tcPr>
          <w:p>
            <w:pPr>
              <w:pStyle w:val="TableParagraph"/>
              <w:spacing w:before="62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5.2</w:t>
            </w:r>
          </w:p>
        </w:tc>
        <w:tc>
          <w:tcPr>
            <w:tcW w:w="5429" w:type="dxa"/>
          </w:tcPr>
          <w:p>
            <w:pPr>
              <w:pStyle w:val="TableParagraph"/>
              <w:spacing w:before="62"/>
              <w:rPr>
                <w:b/>
                <w:sz w:val="20"/>
              </w:rPr>
            </w:pPr>
            <w:r>
              <w:rPr>
                <w:b/>
                <w:sz w:val="20"/>
              </w:rPr>
              <w:t>ЕНЕРГИЙНА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ПОЛИТИКА</w:t>
            </w:r>
          </w:p>
        </w:tc>
        <w:tc>
          <w:tcPr>
            <w:tcW w:w="1918" w:type="dxa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01</w:t>
            </w:r>
          </w:p>
        </w:tc>
      </w:tr>
    </w:tbl>
    <w:p>
      <w:pPr>
        <w:pStyle w:val="BodyText"/>
        <w:spacing w:before="68"/>
        <w:ind w:left="0" w:firstLine="0"/>
      </w:pPr>
    </w:p>
    <w:p>
      <w:pPr>
        <w:pStyle w:val="BodyText"/>
        <w:spacing w:line="276" w:lineRule="auto"/>
        <w:ind w:left="292" w:right="277" w:hanging="1"/>
        <w:jc w:val="both"/>
      </w:pPr>
      <w:r>
        <w:rPr/>
        <w:t>Енергийната политика е основен фактор за разработването и внедряването на система за управление на енергията (СУЕ). Чрез енергийната политика ръководството декларира, че се ангажира да предприеме действия за ограничаване на промените в климата и вннедряване на интегриран подход към енергийната ефективност, като осигурява необходимите ресурси за постигане</w:t>
      </w:r>
      <w:r>
        <w:rPr>
          <w:spacing w:val="-1"/>
        </w:rPr>
        <w:t> </w:t>
      </w:r>
      <w:r>
        <w:rPr/>
        <w:t>на поставените цели, критерии и стандарти.</w:t>
      </w:r>
    </w:p>
    <w:p>
      <w:pPr>
        <w:spacing w:line="276" w:lineRule="auto" w:before="61"/>
        <w:ind w:left="290" w:right="278" w:firstLine="2"/>
        <w:jc w:val="both"/>
        <w:rPr>
          <w:b/>
          <w:sz w:val="22"/>
        </w:rPr>
      </w:pPr>
      <w:r>
        <w:rPr>
          <w:sz w:val="22"/>
        </w:rPr>
        <w:t>В</w:t>
      </w:r>
      <w:r>
        <w:rPr>
          <w:spacing w:val="80"/>
          <w:sz w:val="22"/>
        </w:rPr>
        <w:t> </w:t>
      </w:r>
      <w:r>
        <w:rPr>
          <w:sz w:val="22"/>
        </w:rPr>
        <w:t>„Готмар"</w:t>
      </w:r>
      <w:r>
        <w:rPr>
          <w:spacing w:val="80"/>
          <w:sz w:val="22"/>
        </w:rPr>
        <w:t> </w:t>
      </w:r>
      <w:r>
        <w:rPr>
          <w:sz w:val="22"/>
        </w:rPr>
        <w:t>ЕООД</w:t>
      </w:r>
      <w:r>
        <w:rPr>
          <w:spacing w:val="80"/>
          <w:sz w:val="22"/>
        </w:rPr>
        <w:t> </w:t>
      </w:r>
      <w:r>
        <w:rPr>
          <w:sz w:val="22"/>
        </w:rPr>
        <w:t>е</w:t>
      </w:r>
      <w:r>
        <w:rPr>
          <w:spacing w:val="80"/>
          <w:sz w:val="22"/>
        </w:rPr>
        <w:t> </w:t>
      </w:r>
      <w:r>
        <w:rPr>
          <w:sz w:val="22"/>
        </w:rPr>
        <w:t>разработена,</w:t>
      </w:r>
      <w:r>
        <w:rPr>
          <w:spacing w:val="80"/>
          <w:sz w:val="22"/>
        </w:rPr>
        <w:t> </w:t>
      </w:r>
      <w:r>
        <w:rPr>
          <w:sz w:val="22"/>
        </w:rPr>
        <w:t>внедрена</w:t>
      </w:r>
      <w:r>
        <w:rPr>
          <w:spacing w:val="80"/>
          <w:sz w:val="22"/>
        </w:rPr>
        <w:t> </w:t>
      </w:r>
      <w:r>
        <w:rPr>
          <w:sz w:val="22"/>
        </w:rPr>
        <w:t>и</w:t>
      </w:r>
      <w:r>
        <w:rPr>
          <w:spacing w:val="80"/>
          <w:sz w:val="22"/>
        </w:rPr>
        <w:t> </w:t>
      </w:r>
      <w:r>
        <w:rPr>
          <w:sz w:val="22"/>
        </w:rPr>
        <w:t>поддържана</w:t>
      </w:r>
      <w:r>
        <w:rPr>
          <w:spacing w:val="80"/>
          <w:sz w:val="22"/>
        </w:rPr>
        <w:t> </w:t>
      </w:r>
      <w:r>
        <w:rPr>
          <w:sz w:val="22"/>
        </w:rPr>
        <w:t>СУЕ</w:t>
      </w:r>
      <w:r>
        <w:rPr>
          <w:spacing w:val="80"/>
          <w:sz w:val="22"/>
        </w:rPr>
        <w:t> </w:t>
      </w:r>
      <w:r>
        <w:rPr>
          <w:sz w:val="22"/>
        </w:rPr>
        <w:t>в</w:t>
      </w:r>
      <w:r>
        <w:rPr>
          <w:spacing w:val="80"/>
          <w:sz w:val="22"/>
        </w:rPr>
        <w:t> </w:t>
      </w:r>
      <w:r>
        <w:rPr>
          <w:sz w:val="22"/>
        </w:rPr>
        <w:t>съответствие</w:t>
      </w:r>
      <w:r>
        <w:rPr>
          <w:spacing w:val="80"/>
          <w:sz w:val="22"/>
        </w:rPr>
        <w:t> </w:t>
      </w:r>
      <w:r>
        <w:rPr>
          <w:sz w:val="22"/>
        </w:rPr>
        <w:t>с</w:t>
      </w:r>
      <w:r>
        <w:rPr>
          <w:spacing w:val="80"/>
          <w:sz w:val="22"/>
        </w:rPr>
        <w:t> </w:t>
      </w:r>
      <w:r>
        <w:rPr>
          <w:sz w:val="22"/>
        </w:rPr>
        <w:t>изискванията</w:t>
      </w:r>
      <w:r>
        <w:rPr>
          <w:spacing w:val="80"/>
          <w:sz w:val="22"/>
        </w:rPr>
        <w:t> </w:t>
      </w:r>
      <w:r>
        <w:rPr>
          <w:sz w:val="22"/>
        </w:rPr>
        <w:t>на БДС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ISO</w:t>
      </w:r>
      <w:r>
        <w:rPr>
          <w:spacing w:val="-2"/>
          <w:sz w:val="22"/>
        </w:rPr>
        <w:t> </w:t>
      </w:r>
      <w:r>
        <w:rPr>
          <w:sz w:val="22"/>
        </w:rPr>
        <w:t>50001:2018, с обхват: </w:t>
      </w:r>
      <w:r>
        <w:rPr>
          <w:b/>
          <w:sz w:val="22"/>
        </w:rPr>
        <w:t>Производство на РЕТ преформи и РЕТ опаковки за хранително- вкусовата и други промишлености. Производство на пластмасови капачки за хранително-вкусовата, химическата, парфюмерийната и козметичната индустрии. Производство на пластмасови изделия с индустриално и битово предназначение. Проектиране и изработване на инструментална екипировка.</w:t>
      </w:r>
    </w:p>
    <w:p>
      <w:pPr>
        <w:pStyle w:val="BodyText"/>
        <w:spacing w:line="276" w:lineRule="auto" w:before="59"/>
        <w:ind w:left="292" w:right="280" w:hanging="3"/>
        <w:jc w:val="both"/>
      </w:pPr>
      <w:r>
        <w:rPr/>
        <w:t>В изпълнение на поетите ангажименти за непрекъснато подобряване на СУЕ, респективно ПЕХ, ръководството на „Готмар" ЕООД се ангажира да следва следната енергийна политика: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  <w:tab w:pos="1012" w:val="left" w:leader="none"/>
        </w:tabs>
        <w:spacing w:line="278" w:lineRule="auto" w:before="59" w:after="0"/>
        <w:ind w:left="1012" w:right="276" w:hanging="361"/>
        <w:jc w:val="left"/>
        <w:rPr>
          <w:sz w:val="22"/>
        </w:rPr>
      </w:pPr>
      <w:r>
        <w:rPr>
          <w:sz w:val="22"/>
        </w:rPr>
        <w:t>Осигуряване</w:t>
      </w:r>
      <w:r>
        <w:rPr>
          <w:spacing w:val="40"/>
          <w:sz w:val="22"/>
        </w:rPr>
        <w:t> </w:t>
      </w:r>
      <w:r>
        <w:rPr>
          <w:sz w:val="22"/>
        </w:rPr>
        <w:t>на</w:t>
      </w:r>
      <w:r>
        <w:rPr>
          <w:spacing w:val="40"/>
          <w:sz w:val="22"/>
        </w:rPr>
        <w:t> </w:t>
      </w:r>
      <w:r>
        <w:rPr>
          <w:sz w:val="22"/>
        </w:rPr>
        <w:t>достъп</w:t>
      </w:r>
      <w:r>
        <w:rPr>
          <w:spacing w:val="40"/>
          <w:sz w:val="22"/>
        </w:rPr>
        <w:t> </w:t>
      </w:r>
      <w:r>
        <w:rPr>
          <w:sz w:val="22"/>
        </w:rPr>
        <w:t>до</w:t>
      </w:r>
      <w:r>
        <w:rPr>
          <w:spacing w:val="40"/>
          <w:sz w:val="22"/>
        </w:rPr>
        <w:t> </w:t>
      </w:r>
      <w:r>
        <w:rPr>
          <w:sz w:val="22"/>
        </w:rPr>
        <w:t>информацията</w:t>
      </w:r>
      <w:r>
        <w:rPr>
          <w:spacing w:val="40"/>
          <w:sz w:val="22"/>
        </w:rPr>
        <w:t> </w:t>
      </w:r>
      <w:r>
        <w:rPr>
          <w:sz w:val="22"/>
        </w:rPr>
        <w:t>и</w:t>
      </w:r>
      <w:r>
        <w:rPr>
          <w:spacing w:val="40"/>
          <w:sz w:val="22"/>
        </w:rPr>
        <w:t> </w:t>
      </w:r>
      <w:r>
        <w:rPr>
          <w:sz w:val="22"/>
        </w:rPr>
        <w:t>ресурсите,</w:t>
      </w:r>
      <w:r>
        <w:rPr>
          <w:spacing w:val="40"/>
          <w:sz w:val="22"/>
        </w:rPr>
        <w:t> </w:t>
      </w:r>
      <w:r>
        <w:rPr>
          <w:sz w:val="22"/>
        </w:rPr>
        <w:t>необходими</w:t>
      </w:r>
      <w:r>
        <w:rPr>
          <w:spacing w:val="40"/>
          <w:sz w:val="22"/>
        </w:rPr>
        <w:t> </w:t>
      </w:r>
      <w:r>
        <w:rPr>
          <w:sz w:val="22"/>
        </w:rPr>
        <w:t>за</w:t>
      </w:r>
      <w:r>
        <w:rPr>
          <w:spacing w:val="40"/>
          <w:sz w:val="22"/>
        </w:rPr>
        <w:t> </w:t>
      </w:r>
      <w:r>
        <w:rPr>
          <w:sz w:val="22"/>
        </w:rPr>
        <w:t>изпълнението</w:t>
      </w:r>
      <w:r>
        <w:rPr>
          <w:spacing w:val="40"/>
          <w:sz w:val="22"/>
        </w:rPr>
        <w:t> </w:t>
      </w:r>
      <w:r>
        <w:rPr>
          <w:sz w:val="22"/>
        </w:rPr>
        <w:t>на</w:t>
      </w:r>
      <w:r>
        <w:rPr>
          <w:spacing w:val="40"/>
          <w:sz w:val="22"/>
        </w:rPr>
        <w:t> </w:t>
      </w:r>
      <w:r>
        <w:rPr>
          <w:sz w:val="22"/>
        </w:rPr>
        <w:t>общите</w:t>
      </w:r>
      <w:r>
        <w:rPr>
          <w:spacing w:val="40"/>
          <w:sz w:val="22"/>
        </w:rPr>
        <w:t> </w:t>
      </w:r>
      <w:r>
        <w:rPr>
          <w:sz w:val="22"/>
        </w:rPr>
        <w:t>и конкретните цели на фирмата ;</w:t>
      </w:r>
    </w:p>
    <w:p>
      <w:pPr>
        <w:pStyle w:val="ListParagraph"/>
        <w:numPr>
          <w:ilvl w:val="0"/>
          <w:numId w:val="1"/>
        </w:numPr>
        <w:tabs>
          <w:tab w:pos="1012" w:val="left" w:leader="none"/>
        </w:tabs>
        <w:spacing w:line="276" w:lineRule="auto" w:before="0" w:after="0"/>
        <w:ind w:left="1012" w:right="280" w:hanging="360"/>
        <w:jc w:val="left"/>
        <w:rPr>
          <w:sz w:val="22"/>
        </w:rPr>
      </w:pPr>
      <w:r>
        <w:rPr>
          <w:sz w:val="22"/>
        </w:rPr>
        <w:t>Съответствие с нормативните и други приложими изисквания, свързани с използването на енергия,</w:t>
      </w:r>
      <w:r>
        <w:rPr>
          <w:spacing w:val="40"/>
          <w:sz w:val="22"/>
        </w:rPr>
        <w:t> </w:t>
      </w:r>
      <w:r>
        <w:rPr>
          <w:sz w:val="22"/>
        </w:rPr>
        <w:t>енергийните разход и енергийната ефективност;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  <w:tab w:pos="1012" w:val="left" w:leader="none"/>
        </w:tabs>
        <w:spacing w:line="276" w:lineRule="auto" w:before="0" w:after="0"/>
        <w:ind w:left="1012" w:right="278" w:hanging="361"/>
        <w:jc w:val="left"/>
        <w:rPr>
          <w:sz w:val="22"/>
        </w:rPr>
      </w:pPr>
      <w:r>
        <w:rPr>
          <w:sz w:val="22"/>
        </w:rPr>
        <w:t>Поддържане на актуалността и адекватността на настоящата политика, съобразно характера и обема на енергийното потребление, чрез нейното редовно преглеждане и обновяване, когато е необходимо;</w:t>
      </w:r>
    </w:p>
    <w:p>
      <w:pPr>
        <w:pStyle w:val="ListParagraph"/>
        <w:numPr>
          <w:ilvl w:val="0"/>
          <w:numId w:val="1"/>
        </w:numPr>
        <w:tabs>
          <w:tab w:pos="1011" w:val="left" w:leader="none"/>
        </w:tabs>
        <w:spacing w:line="240" w:lineRule="auto" w:before="0" w:after="0"/>
        <w:ind w:left="1011" w:right="0" w:hanging="359"/>
        <w:jc w:val="left"/>
        <w:rPr>
          <w:sz w:val="22"/>
        </w:rPr>
      </w:pPr>
      <w:r>
        <w:rPr>
          <w:sz w:val="22"/>
        </w:rPr>
        <w:t>Разпространение</w:t>
      </w:r>
      <w:r>
        <w:rPr>
          <w:spacing w:val="-6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прилагане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-4"/>
          <w:sz w:val="22"/>
        </w:rPr>
        <w:t> </w:t>
      </w:r>
      <w:r>
        <w:rPr>
          <w:sz w:val="22"/>
        </w:rPr>
        <w:t>настоящата</w:t>
      </w:r>
      <w:r>
        <w:rPr>
          <w:spacing w:val="-3"/>
          <w:sz w:val="22"/>
        </w:rPr>
        <w:t> </w:t>
      </w:r>
      <w:r>
        <w:rPr>
          <w:sz w:val="22"/>
        </w:rPr>
        <w:t>политика</w:t>
      </w:r>
      <w:r>
        <w:rPr>
          <w:spacing w:val="-4"/>
          <w:sz w:val="22"/>
        </w:rPr>
        <w:t> </w:t>
      </w:r>
      <w:r>
        <w:rPr>
          <w:sz w:val="22"/>
        </w:rPr>
        <w:t>на</w:t>
      </w:r>
      <w:r>
        <w:rPr>
          <w:spacing w:val="-4"/>
          <w:sz w:val="22"/>
        </w:rPr>
        <w:t> </w:t>
      </w:r>
      <w:r>
        <w:rPr>
          <w:sz w:val="22"/>
        </w:rPr>
        <w:t>всички</w:t>
      </w:r>
      <w:r>
        <w:rPr>
          <w:spacing w:val="-6"/>
          <w:sz w:val="22"/>
        </w:rPr>
        <w:t> </w:t>
      </w:r>
      <w:r>
        <w:rPr>
          <w:sz w:val="22"/>
        </w:rPr>
        <w:t>равнища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7"/>
          <w:sz w:val="22"/>
        </w:rPr>
        <w:t> </w:t>
      </w:r>
      <w:r>
        <w:rPr>
          <w:sz w:val="22"/>
        </w:rPr>
        <w:t>„Готмар"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ЕООД.</w:t>
      </w:r>
    </w:p>
    <w:p>
      <w:pPr>
        <w:pStyle w:val="BodyText"/>
        <w:spacing w:line="276" w:lineRule="auto" w:before="94"/>
        <w:ind w:left="292" w:firstLine="0"/>
      </w:pPr>
      <w:r>
        <w:rPr/>
        <w:t>В</w:t>
      </w:r>
      <w:r>
        <w:rPr>
          <w:spacing w:val="28"/>
        </w:rPr>
        <w:t> </w:t>
      </w:r>
      <w:r>
        <w:rPr/>
        <w:t>изпълнение</w:t>
      </w:r>
      <w:r>
        <w:rPr>
          <w:spacing w:val="29"/>
        </w:rPr>
        <w:t> </w:t>
      </w:r>
      <w:r>
        <w:rPr/>
        <w:t>на</w:t>
      </w:r>
      <w:r>
        <w:rPr>
          <w:spacing w:val="29"/>
        </w:rPr>
        <w:t> </w:t>
      </w:r>
      <w:r>
        <w:rPr/>
        <w:t>поетите по-горе</w:t>
      </w:r>
      <w:r>
        <w:rPr>
          <w:spacing w:val="29"/>
        </w:rPr>
        <w:t> </w:t>
      </w:r>
      <w:r>
        <w:rPr/>
        <w:t>ангажименти,</w:t>
      </w:r>
      <w:r>
        <w:rPr>
          <w:spacing w:val="29"/>
        </w:rPr>
        <w:t> </w:t>
      </w:r>
      <w:r>
        <w:rPr/>
        <w:t>ръководството</w:t>
      </w:r>
      <w:r>
        <w:rPr>
          <w:spacing w:val="29"/>
        </w:rPr>
        <w:t> </w:t>
      </w:r>
      <w:r>
        <w:rPr/>
        <w:t>определя</w:t>
      </w:r>
      <w:r>
        <w:rPr>
          <w:spacing w:val="28"/>
        </w:rPr>
        <w:t> </w:t>
      </w:r>
      <w:r>
        <w:rPr/>
        <w:t>следните</w:t>
      </w:r>
      <w:r>
        <w:rPr>
          <w:spacing w:val="29"/>
        </w:rPr>
        <w:t> </w:t>
      </w:r>
      <w:r>
        <w:rPr/>
        <w:t>стратегически</w:t>
      </w:r>
      <w:r>
        <w:rPr>
          <w:spacing w:val="28"/>
        </w:rPr>
        <w:t> </w:t>
      </w:r>
      <w:r>
        <w:rPr/>
        <w:t>цели</w:t>
      </w:r>
      <w:r>
        <w:rPr>
          <w:spacing w:val="28"/>
        </w:rPr>
        <w:t> </w:t>
      </w:r>
      <w:r>
        <w:rPr/>
        <w:t>при управление на енергията:</w:t>
      </w:r>
    </w:p>
    <w:p>
      <w:pPr>
        <w:pStyle w:val="ListParagraph"/>
        <w:numPr>
          <w:ilvl w:val="0"/>
          <w:numId w:val="1"/>
        </w:numPr>
        <w:tabs>
          <w:tab w:pos="1012" w:val="left" w:leader="none"/>
        </w:tabs>
        <w:spacing w:line="278" w:lineRule="auto" w:before="59" w:after="0"/>
        <w:ind w:left="1012" w:right="280" w:hanging="360"/>
        <w:jc w:val="left"/>
        <w:rPr>
          <w:sz w:val="22"/>
        </w:rPr>
      </w:pPr>
      <w:r>
        <w:rPr>
          <w:sz w:val="22"/>
        </w:rPr>
        <w:t>Ефективно</w:t>
      </w:r>
      <w:r>
        <w:rPr>
          <w:spacing w:val="40"/>
          <w:sz w:val="22"/>
        </w:rPr>
        <w:t> </w:t>
      </w:r>
      <w:r>
        <w:rPr>
          <w:sz w:val="22"/>
        </w:rPr>
        <w:t>планиране</w:t>
      </w:r>
      <w:r>
        <w:rPr>
          <w:spacing w:val="40"/>
          <w:sz w:val="22"/>
        </w:rPr>
        <w:t> </w:t>
      </w:r>
      <w:r>
        <w:rPr>
          <w:sz w:val="22"/>
        </w:rPr>
        <w:t>и</w:t>
      </w:r>
      <w:r>
        <w:rPr>
          <w:spacing w:val="40"/>
          <w:sz w:val="22"/>
        </w:rPr>
        <w:t> </w:t>
      </w:r>
      <w:r>
        <w:rPr>
          <w:sz w:val="22"/>
        </w:rPr>
        <w:t>използване</w:t>
      </w:r>
      <w:r>
        <w:rPr>
          <w:spacing w:val="40"/>
          <w:sz w:val="22"/>
        </w:rPr>
        <w:t> </w:t>
      </w:r>
      <w:r>
        <w:rPr>
          <w:sz w:val="22"/>
        </w:rPr>
        <w:t>на</w:t>
      </w:r>
      <w:r>
        <w:rPr>
          <w:spacing w:val="40"/>
          <w:sz w:val="22"/>
        </w:rPr>
        <w:t> </w:t>
      </w:r>
      <w:r>
        <w:rPr>
          <w:sz w:val="22"/>
        </w:rPr>
        <w:t>наличните</w:t>
      </w:r>
      <w:r>
        <w:rPr>
          <w:spacing w:val="40"/>
          <w:sz w:val="22"/>
        </w:rPr>
        <w:t> </w:t>
      </w:r>
      <w:r>
        <w:rPr>
          <w:sz w:val="22"/>
        </w:rPr>
        <w:t>материални,</w:t>
      </w:r>
      <w:r>
        <w:rPr>
          <w:spacing w:val="40"/>
          <w:sz w:val="22"/>
        </w:rPr>
        <w:t> </w:t>
      </w:r>
      <w:r>
        <w:rPr>
          <w:sz w:val="22"/>
        </w:rPr>
        <w:t>човешки,</w:t>
      </w:r>
      <w:r>
        <w:rPr>
          <w:spacing w:val="40"/>
          <w:sz w:val="22"/>
        </w:rPr>
        <w:t> </w:t>
      </w:r>
      <w:r>
        <w:rPr>
          <w:sz w:val="22"/>
        </w:rPr>
        <w:t>енергийни</w:t>
      </w:r>
      <w:r>
        <w:rPr>
          <w:spacing w:val="40"/>
          <w:sz w:val="22"/>
        </w:rPr>
        <w:t> </w:t>
      </w:r>
      <w:r>
        <w:rPr>
          <w:sz w:val="22"/>
        </w:rPr>
        <w:t>и</w:t>
      </w:r>
      <w:r>
        <w:rPr>
          <w:spacing w:val="40"/>
          <w:sz w:val="22"/>
        </w:rPr>
        <w:t> </w:t>
      </w:r>
      <w:r>
        <w:rPr>
          <w:sz w:val="22"/>
        </w:rPr>
        <w:t>финансови </w:t>
      </w:r>
      <w:r>
        <w:rPr>
          <w:spacing w:val="-2"/>
          <w:sz w:val="22"/>
        </w:rPr>
        <w:t>ресурси;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  <w:tab w:pos="1012" w:val="left" w:leader="none"/>
        </w:tabs>
        <w:spacing w:line="276" w:lineRule="auto" w:before="0" w:after="0"/>
        <w:ind w:left="1012" w:right="281" w:hanging="361"/>
        <w:jc w:val="left"/>
        <w:rPr>
          <w:sz w:val="22"/>
        </w:rPr>
      </w:pPr>
      <w:r>
        <w:rPr>
          <w:sz w:val="22"/>
        </w:rPr>
        <w:t>Подобряване на енергийните характеристики чрез оптимизиране на основните процеси и намаляване на енергийното потребление;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  <w:tab w:pos="1012" w:val="left" w:leader="none"/>
        </w:tabs>
        <w:spacing w:line="276" w:lineRule="auto" w:before="0" w:after="0"/>
        <w:ind w:left="1012" w:right="280" w:hanging="361"/>
        <w:jc w:val="left"/>
        <w:rPr>
          <w:sz w:val="22"/>
        </w:rPr>
      </w:pPr>
      <w:r>
        <w:rPr>
          <w:sz w:val="22"/>
        </w:rPr>
        <w:t>Провеждане</w:t>
      </w:r>
      <w:r>
        <w:rPr>
          <w:spacing w:val="40"/>
          <w:sz w:val="22"/>
        </w:rPr>
        <w:t> </w:t>
      </w:r>
      <w:r>
        <w:rPr>
          <w:sz w:val="22"/>
        </w:rPr>
        <w:t>на</w:t>
      </w:r>
      <w:r>
        <w:rPr>
          <w:spacing w:val="40"/>
          <w:sz w:val="22"/>
        </w:rPr>
        <w:t> </w:t>
      </w:r>
      <w:r>
        <w:rPr>
          <w:sz w:val="22"/>
        </w:rPr>
        <w:t>системни</w:t>
      </w:r>
      <w:r>
        <w:rPr>
          <w:spacing w:val="40"/>
          <w:sz w:val="22"/>
        </w:rPr>
        <w:t> </w:t>
      </w:r>
      <w:r>
        <w:rPr>
          <w:sz w:val="22"/>
        </w:rPr>
        <w:t>обучения,</w:t>
      </w:r>
      <w:r>
        <w:rPr>
          <w:spacing w:val="40"/>
          <w:sz w:val="22"/>
        </w:rPr>
        <w:t> </w:t>
      </w:r>
      <w:r>
        <w:rPr>
          <w:sz w:val="22"/>
        </w:rPr>
        <w:t>с</w:t>
      </w:r>
      <w:r>
        <w:rPr>
          <w:spacing w:val="40"/>
          <w:sz w:val="22"/>
        </w:rPr>
        <w:t> </w:t>
      </w:r>
      <w:r>
        <w:rPr>
          <w:sz w:val="22"/>
        </w:rPr>
        <w:t>цел</w:t>
      </w:r>
      <w:r>
        <w:rPr>
          <w:spacing w:val="40"/>
          <w:sz w:val="22"/>
        </w:rPr>
        <w:t> </w:t>
      </w:r>
      <w:r>
        <w:rPr>
          <w:sz w:val="22"/>
        </w:rPr>
        <w:t>повишаване</w:t>
      </w:r>
      <w:r>
        <w:rPr>
          <w:spacing w:val="40"/>
          <w:sz w:val="22"/>
        </w:rPr>
        <w:t> </w:t>
      </w:r>
      <w:r>
        <w:rPr>
          <w:sz w:val="22"/>
        </w:rPr>
        <w:t>квалификацията</w:t>
      </w:r>
      <w:r>
        <w:rPr>
          <w:spacing w:val="40"/>
          <w:sz w:val="22"/>
        </w:rPr>
        <w:t> </w:t>
      </w:r>
      <w:r>
        <w:rPr>
          <w:sz w:val="22"/>
        </w:rPr>
        <w:t>на</w:t>
      </w:r>
      <w:r>
        <w:rPr>
          <w:spacing w:val="40"/>
          <w:sz w:val="22"/>
        </w:rPr>
        <w:t> </w:t>
      </w:r>
      <w:r>
        <w:rPr>
          <w:sz w:val="22"/>
        </w:rPr>
        <w:t>персонала</w:t>
      </w:r>
      <w:r>
        <w:rPr>
          <w:spacing w:val="40"/>
          <w:sz w:val="22"/>
        </w:rPr>
        <w:t> </w:t>
      </w:r>
      <w:r>
        <w:rPr>
          <w:sz w:val="22"/>
        </w:rPr>
        <w:t>и</w:t>
      </w:r>
      <w:r>
        <w:rPr>
          <w:spacing w:val="40"/>
          <w:sz w:val="22"/>
        </w:rPr>
        <w:t> </w:t>
      </w:r>
      <w:r>
        <w:rPr>
          <w:sz w:val="22"/>
        </w:rPr>
        <w:t>неговата мотивация за подобряване на енергийната ефективност;</w:t>
      </w:r>
    </w:p>
    <w:p>
      <w:pPr>
        <w:pStyle w:val="ListParagraph"/>
        <w:numPr>
          <w:ilvl w:val="0"/>
          <w:numId w:val="1"/>
        </w:numPr>
        <w:tabs>
          <w:tab w:pos="1011" w:val="left" w:leader="none"/>
        </w:tabs>
        <w:spacing w:line="240" w:lineRule="auto" w:before="0" w:after="0"/>
        <w:ind w:left="1011" w:right="0" w:hanging="359"/>
        <w:jc w:val="left"/>
        <w:rPr>
          <w:sz w:val="22"/>
        </w:rPr>
      </w:pPr>
      <w:r>
        <w:rPr>
          <w:sz w:val="22"/>
        </w:rPr>
        <w:t>Приоритетно</w:t>
      </w:r>
      <w:r>
        <w:rPr>
          <w:spacing w:val="-7"/>
          <w:sz w:val="22"/>
        </w:rPr>
        <w:t> </w:t>
      </w:r>
      <w:r>
        <w:rPr>
          <w:sz w:val="22"/>
        </w:rPr>
        <w:t>закупуване</w:t>
      </w:r>
      <w:r>
        <w:rPr>
          <w:spacing w:val="-5"/>
          <w:sz w:val="22"/>
        </w:rPr>
        <w:t> </w:t>
      </w:r>
      <w:r>
        <w:rPr>
          <w:sz w:val="22"/>
        </w:rPr>
        <w:t>на</w:t>
      </w:r>
      <w:r>
        <w:rPr>
          <w:spacing w:val="-4"/>
          <w:sz w:val="22"/>
        </w:rPr>
        <w:t> </w:t>
      </w:r>
      <w:r>
        <w:rPr>
          <w:sz w:val="22"/>
        </w:rPr>
        <w:t>енергийно</w:t>
      </w:r>
      <w:r>
        <w:rPr>
          <w:spacing w:val="-7"/>
          <w:sz w:val="22"/>
        </w:rPr>
        <w:t> </w:t>
      </w:r>
      <w:r>
        <w:rPr>
          <w:sz w:val="22"/>
        </w:rPr>
        <w:t>ефективни</w:t>
      </w:r>
      <w:r>
        <w:rPr>
          <w:spacing w:val="-7"/>
          <w:sz w:val="22"/>
        </w:rPr>
        <w:t> </w:t>
      </w:r>
      <w:r>
        <w:rPr>
          <w:sz w:val="22"/>
        </w:rPr>
        <w:t>продукти</w:t>
      </w:r>
      <w:r>
        <w:rPr>
          <w:spacing w:val="-6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услуги;</w:t>
      </w:r>
    </w:p>
    <w:p>
      <w:pPr>
        <w:pStyle w:val="ListParagraph"/>
        <w:numPr>
          <w:ilvl w:val="0"/>
          <w:numId w:val="1"/>
        </w:numPr>
        <w:tabs>
          <w:tab w:pos="1011" w:val="left" w:leader="none"/>
        </w:tabs>
        <w:spacing w:line="240" w:lineRule="auto" w:before="34" w:after="0"/>
        <w:ind w:left="1011" w:right="0" w:hanging="359"/>
        <w:jc w:val="left"/>
        <w:rPr>
          <w:sz w:val="22"/>
        </w:rPr>
      </w:pPr>
      <w:r>
        <w:rPr>
          <w:sz w:val="22"/>
        </w:rPr>
        <w:t>Проектиране</w:t>
      </w:r>
      <w:r>
        <w:rPr>
          <w:spacing w:val="-10"/>
          <w:sz w:val="22"/>
        </w:rPr>
        <w:t> </w:t>
      </w:r>
      <w:r>
        <w:rPr>
          <w:sz w:val="22"/>
        </w:rPr>
        <w:t>осигуряване</w:t>
      </w:r>
      <w:r>
        <w:rPr>
          <w:spacing w:val="-8"/>
          <w:sz w:val="22"/>
        </w:rPr>
        <w:t> </w:t>
      </w:r>
      <w:r>
        <w:rPr>
          <w:sz w:val="22"/>
        </w:rPr>
        <w:t>подобряване</w:t>
      </w:r>
      <w:r>
        <w:rPr>
          <w:spacing w:val="-6"/>
          <w:sz w:val="22"/>
        </w:rPr>
        <w:t> </w:t>
      </w:r>
      <w:r>
        <w:rPr>
          <w:sz w:val="22"/>
        </w:rPr>
        <w:t>на</w:t>
      </w:r>
      <w:r>
        <w:rPr>
          <w:spacing w:val="-6"/>
          <w:sz w:val="22"/>
        </w:rPr>
        <w:t> </w:t>
      </w:r>
      <w:r>
        <w:rPr>
          <w:sz w:val="22"/>
        </w:rPr>
        <w:t>енергийните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характеристики;</w:t>
      </w:r>
    </w:p>
    <w:p>
      <w:pPr>
        <w:pStyle w:val="ListParagraph"/>
        <w:numPr>
          <w:ilvl w:val="0"/>
          <w:numId w:val="1"/>
        </w:numPr>
        <w:tabs>
          <w:tab w:pos="1012" w:val="left" w:leader="none"/>
        </w:tabs>
        <w:spacing w:line="240" w:lineRule="auto" w:before="37" w:after="0"/>
        <w:ind w:left="1012" w:right="0" w:hanging="359"/>
        <w:jc w:val="left"/>
        <w:rPr>
          <w:sz w:val="22"/>
        </w:rPr>
      </w:pPr>
      <w:r>
        <w:rPr>
          <w:sz w:val="22"/>
        </w:rPr>
        <w:t>Планиране</w:t>
      </w:r>
      <w:r>
        <w:rPr>
          <w:spacing w:val="-7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реализиране</w:t>
      </w:r>
      <w:r>
        <w:rPr>
          <w:spacing w:val="-5"/>
          <w:sz w:val="22"/>
        </w:rPr>
        <w:t> </w:t>
      </w:r>
      <w:r>
        <w:rPr>
          <w:sz w:val="22"/>
        </w:rPr>
        <w:t>на</w:t>
      </w:r>
      <w:r>
        <w:rPr>
          <w:spacing w:val="-4"/>
          <w:sz w:val="22"/>
        </w:rPr>
        <w:t> </w:t>
      </w:r>
      <w:r>
        <w:rPr>
          <w:sz w:val="22"/>
        </w:rPr>
        <w:t>подобрения</w:t>
      </w:r>
      <w:r>
        <w:rPr>
          <w:spacing w:val="-5"/>
          <w:sz w:val="22"/>
        </w:rPr>
        <w:t> </w:t>
      </w:r>
      <w:r>
        <w:rPr>
          <w:sz w:val="22"/>
        </w:rPr>
        <w:t>на</w:t>
      </w:r>
      <w:r>
        <w:rPr>
          <w:spacing w:val="-4"/>
          <w:sz w:val="22"/>
        </w:rPr>
        <w:t> </w:t>
      </w:r>
      <w:r>
        <w:rPr>
          <w:sz w:val="22"/>
        </w:rPr>
        <w:t>енергийната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резултатност;</w:t>
      </w:r>
    </w:p>
    <w:p>
      <w:pPr>
        <w:pStyle w:val="ListParagraph"/>
        <w:numPr>
          <w:ilvl w:val="0"/>
          <w:numId w:val="1"/>
        </w:numPr>
        <w:tabs>
          <w:tab w:pos="1011" w:val="left" w:leader="none"/>
          <w:tab w:pos="1013" w:val="left" w:leader="none"/>
        </w:tabs>
        <w:spacing w:line="278" w:lineRule="auto" w:before="37" w:after="0"/>
        <w:ind w:left="1013" w:right="272" w:hanging="361"/>
        <w:jc w:val="left"/>
        <w:rPr>
          <w:sz w:val="22"/>
        </w:rPr>
      </w:pPr>
      <w:r>
        <w:rPr>
          <w:sz w:val="22"/>
        </w:rPr>
        <w:t>Намаляване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емисиите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парниковите</w:t>
      </w:r>
      <w:r>
        <w:rPr>
          <w:spacing w:val="-3"/>
          <w:sz w:val="22"/>
        </w:rPr>
        <w:t> </w:t>
      </w:r>
      <w:r>
        <w:rPr>
          <w:sz w:val="22"/>
        </w:rPr>
        <w:t>газове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резултат</w:t>
      </w:r>
      <w:r>
        <w:rPr>
          <w:spacing w:val="-4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намалената</w:t>
      </w:r>
      <w:r>
        <w:rPr>
          <w:spacing w:val="-3"/>
          <w:sz w:val="22"/>
        </w:rPr>
        <w:t> </w:t>
      </w:r>
      <w:r>
        <w:rPr>
          <w:sz w:val="22"/>
        </w:rPr>
        <w:t>консумация</w:t>
      </w:r>
      <w:r>
        <w:rPr>
          <w:spacing w:val="-4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електрическа </w:t>
      </w:r>
      <w:r>
        <w:rPr>
          <w:spacing w:val="-2"/>
          <w:sz w:val="22"/>
        </w:rPr>
        <w:t>енергия;</w:t>
      </w:r>
    </w:p>
    <w:p>
      <w:pPr>
        <w:pStyle w:val="ListParagraph"/>
        <w:numPr>
          <w:ilvl w:val="0"/>
          <w:numId w:val="1"/>
        </w:numPr>
        <w:tabs>
          <w:tab w:pos="1011" w:val="left" w:leader="none"/>
        </w:tabs>
        <w:spacing w:line="276" w:lineRule="auto" w:before="0" w:after="0"/>
        <w:ind w:left="1011" w:right="282" w:hanging="359"/>
        <w:jc w:val="left"/>
        <w:rPr>
          <w:sz w:val="20"/>
        </w:rPr>
      </w:pPr>
      <w:r>
        <w:rPr>
          <w:sz w:val="22"/>
        </w:rPr>
        <w:t>У</w:t>
      </w:r>
      <w:r>
        <w:rPr>
          <w:color w:val="333333"/>
          <w:sz w:val="20"/>
        </w:rPr>
        <w:t>величаване на използването на енергия от възобновяеми източници с цел борба с </w:t>
      </w:r>
      <w:hyperlink r:id="rId8">
        <w:r>
          <w:rPr>
            <w:sz w:val="20"/>
          </w:rPr>
          <w:t>изменението на климата,</w:t>
        </w:r>
      </w:hyperlink>
      <w:r>
        <w:rPr>
          <w:sz w:val="20"/>
        </w:rPr>
        <w:t> </w:t>
      </w:r>
      <w:r>
        <w:rPr>
          <w:color w:val="333333"/>
          <w:sz w:val="20"/>
        </w:rPr>
        <w:t>и защита на околната среда.</w:t>
      </w:r>
    </w:p>
    <w:p>
      <w:pPr>
        <w:pStyle w:val="BodyText"/>
        <w:spacing w:before="177"/>
        <w:ind w:left="0" w:firstLine="0"/>
        <w:rPr>
          <w:sz w:val="20"/>
        </w:rPr>
      </w:pPr>
    </w:p>
    <w:p>
      <w:pPr>
        <w:spacing w:line="283" w:lineRule="auto" w:before="0"/>
        <w:ind w:left="292" w:right="0" w:hanging="1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6101644</wp:posOffset>
            </wp:positionH>
            <wp:positionV relativeFrom="paragraph">
              <wp:posOffset>-29820</wp:posOffset>
            </wp:positionV>
            <wp:extent cx="496711" cy="88414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711" cy="88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Като</w:t>
      </w:r>
      <w:r>
        <w:rPr>
          <w:spacing w:val="40"/>
          <w:sz w:val="22"/>
        </w:rPr>
        <w:t> </w:t>
      </w:r>
      <w:r>
        <w:rPr>
          <w:sz w:val="22"/>
        </w:rPr>
        <w:t>Управител</w:t>
      </w:r>
      <w:r>
        <w:rPr>
          <w:spacing w:val="40"/>
          <w:sz w:val="22"/>
        </w:rPr>
        <w:t> </w:t>
      </w:r>
      <w:r>
        <w:rPr>
          <w:sz w:val="22"/>
        </w:rPr>
        <w:t>на</w:t>
      </w:r>
      <w:r>
        <w:rPr>
          <w:spacing w:val="40"/>
          <w:sz w:val="22"/>
        </w:rPr>
        <w:t> </w:t>
      </w:r>
      <w:r>
        <w:rPr>
          <w:sz w:val="22"/>
        </w:rPr>
        <w:t>„Готмар"</w:t>
      </w:r>
      <w:r>
        <w:rPr>
          <w:spacing w:val="40"/>
          <w:sz w:val="22"/>
        </w:rPr>
        <w:t> </w:t>
      </w:r>
      <w:r>
        <w:rPr>
          <w:sz w:val="22"/>
        </w:rPr>
        <w:t>ЕООД</w:t>
      </w:r>
      <w:r>
        <w:rPr>
          <w:spacing w:val="40"/>
          <w:sz w:val="22"/>
        </w:rPr>
        <w:t> </w:t>
      </w:r>
      <w:r>
        <w:rPr>
          <w:sz w:val="22"/>
        </w:rPr>
        <w:t>декларирам</w:t>
      </w:r>
      <w:r>
        <w:rPr>
          <w:spacing w:val="40"/>
          <w:sz w:val="22"/>
        </w:rPr>
        <w:t> </w:t>
      </w:r>
      <w:r>
        <w:rPr>
          <w:sz w:val="22"/>
        </w:rPr>
        <w:t>личното</w:t>
      </w:r>
      <w:r>
        <w:rPr>
          <w:spacing w:val="40"/>
          <w:sz w:val="22"/>
        </w:rPr>
        <w:t> </w:t>
      </w:r>
      <w:r>
        <w:rPr>
          <w:sz w:val="22"/>
        </w:rPr>
        <w:t>си</w:t>
      </w:r>
      <w:r>
        <w:rPr>
          <w:spacing w:val="40"/>
          <w:sz w:val="22"/>
        </w:rPr>
        <w:t> </w:t>
      </w:r>
      <w:r>
        <w:rPr>
          <w:sz w:val="22"/>
        </w:rPr>
        <w:t>участие</w:t>
      </w:r>
      <w:r>
        <w:rPr>
          <w:spacing w:val="40"/>
          <w:sz w:val="22"/>
        </w:rPr>
        <w:t> </w:t>
      </w:r>
      <w:r>
        <w:rPr>
          <w:sz w:val="22"/>
        </w:rPr>
        <w:t>и</w:t>
      </w:r>
      <w:r>
        <w:rPr>
          <w:spacing w:val="40"/>
          <w:sz w:val="22"/>
        </w:rPr>
        <w:t> </w:t>
      </w:r>
      <w:r>
        <w:rPr>
          <w:sz w:val="22"/>
        </w:rPr>
        <w:t>отговорност</w:t>
      </w:r>
      <w:r>
        <w:rPr>
          <w:spacing w:val="40"/>
          <w:sz w:val="22"/>
        </w:rPr>
        <w:t> </w:t>
      </w:r>
      <w:r>
        <w:rPr>
          <w:b/>
          <w:sz w:val="22"/>
        </w:rPr>
        <w:t>за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изпълнение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настоящата политика.</w:t>
      </w:r>
    </w:p>
    <w:p>
      <w:pPr>
        <w:tabs>
          <w:tab w:pos="7391" w:val="left" w:leader="none"/>
        </w:tabs>
        <w:spacing w:before="104"/>
        <w:ind w:left="858" w:right="0" w:firstLine="0"/>
        <w:jc w:val="left"/>
        <w:rPr>
          <w:sz w:val="20"/>
        </w:rPr>
      </w:pPr>
      <w:r>
        <w:rPr>
          <w:sz w:val="22"/>
        </w:rPr>
        <w:t>Дата:</w:t>
      </w:r>
      <w:r>
        <w:rPr>
          <w:spacing w:val="-3"/>
          <w:sz w:val="22"/>
        </w:rPr>
        <w:t> </w:t>
      </w:r>
      <w:r>
        <w:rPr>
          <w:sz w:val="22"/>
        </w:rPr>
        <w:t>09.09.2024</w:t>
      </w:r>
      <w:r>
        <w:rPr>
          <w:spacing w:val="-5"/>
          <w:sz w:val="22"/>
        </w:rPr>
        <w:t> г.</w:t>
      </w:r>
      <w:r>
        <w:rPr>
          <w:sz w:val="22"/>
        </w:rPr>
        <w:tab/>
        <w:t>Мениджър</w:t>
      </w:r>
      <w:r>
        <w:rPr>
          <w:sz w:val="24"/>
        </w:rPr>
        <w:t>:</w:t>
      </w:r>
      <w:r>
        <w:rPr>
          <w:spacing w:val="-11"/>
          <w:sz w:val="24"/>
        </w:rPr>
        <w:t> </w:t>
      </w:r>
      <w:r>
        <w:rPr>
          <w:spacing w:val="-2"/>
          <w:sz w:val="20"/>
        </w:rPr>
        <w:t>.....................................</w:t>
      </w:r>
    </w:p>
    <w:p>
      <w:pPr>
        <w:spacing w:before="71"/>
        <w:ind w:left="0" w:right="711" w:firstLine="0"/>
        <w:jc w:val="right"/>
        <w:rPr>
          <w:sz w:val="20"/>
        </w:rPr>
      </w:pPr>
      <w:r>
        <w:rPr>
          <w:sz w:val="20"/>
        </w:rPr>
        <w:t>(Мария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Тучева)</w:t>
      </w:r>
    </w:p>
    <w:p>
      <w:pPr>
        <w:pStyle w:val="Title"/>
        <w:rPr>
          <w:i/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746761</wp:posOffset>
                </wp:positionH>
                <wp:positionV relativeFrom="paragraph">
                  <wp:posOffset>188134</wp:posOffset>
                </wp:positionV>
                <wp:extent cx="268859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688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8590" h="0">
                              <a:moveTo>
                                <a:pt x="0" y="0"/>
                              </a:moveTo>
                              <a:lnTo>
                                <a:pt x="268848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58.800098pt,14.813753pt" to="270.492193pt,14.813753pt" stroked="true" strokeweight=".78pt" strokecolor="#000000">
                <v:stroke dashstyle="dash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4520209</wp:posOffset>
                </wp:positionH>
                <wp:positionV relativeFrom="paragraph">
                  <wp:posOffset>188134</wp:posOffset>
                </wp:positionV>
                <wp:extent cx="2384425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384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4425" h="0">
                              <a:moveTo>
                                <a:pt x="0" y="0"/>
                              </a:moveTo>
                              <a:lnTo>
                                <a:pt x="238442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355.922028pt,14.813753pt" to="543.672198pt,14.813753pt" stroked="true" strokeweight=".78pt" strokecolor="#000000">
                <v:stroke dashstyle="dash"/>
                <w10:wrap type="none"/>
              </v:line>
            </w:pict>
          </mc:Fallback>
        </mc:AlternateContent>
      </w:r>
      <w:hyperlink r:id="rId10">
        <w:r>
          <w:rPr>
            <w:i/>
            <w:color w:val="0000FF"/>
            <w:spacing w:val="-2"/>
            <w:u w:val="single" w:color="0000FF"/>
          </w:rPr>
          <w:t>www.eufunds.bg</w:t>
        </w:r>
      </w:hyperlink>
    </w:p>
    <w:p>
      <w:pPr>
        <w:spacing w:before="106"/>
        <w:ind w:left="2" w:right="0" w:firstLine="0"/>
        <w:jc w:val="center"/>
        <w:rPr>
          <w:i/>
          <w:sz w:val="16"/>
        </w:rPr>
      </w:pPr>
      <w:r>
        <w:rPr>
          <w:i/>
          <w:sz w:val="16"/>
        </w:rPr>
        <w:t>Проект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BG16RPOP002-3.002-0152-CO1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-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"Повишаване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на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енергийната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ефективност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на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„Готмар"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ЕООД",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финансиран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от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Оперативна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програма</w:t>
      </w:r>
    </w:p>
    <w:p>
      <w:pPr>
        <w:spacing w:line="276" w:lineRule="auto" w:before="27"/>
        <w:ind w:left="368" w:right="357" w:hanging="4"/>
        <w:jc w:val="center"/>
        <w:rPr>
          <w:i/>
          <w:sz w:val="16"/>
        </w:rPr>
      </w:pPr>
      <w:r>
        <w:rPr>
          <w:i/>
          <w:sz w:val="16"/>
        </w:rPr>
        <w:t>„Иновации и конкурентоспособност“, съфинансирана от Европейския съюз чрез Европейския фонд за регионално развитие. Този документ е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създаден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с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финансовата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подкрепа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на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ОП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„Иновации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конкурентоспособност“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2014-2020,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съфинансирана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от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ЕС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чрез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ЕФРР.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Цялата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отговорност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за съдържанието на документа се носи от „Готмар" ЕООД и при никакви обстоятелства не може да се приема, че този документ отразява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официалното становище на ЕС и УО</w:t>
      </w:r>
    </w:p>
    <w:sectPr>
      <w:type w:val="continuous"/>
      <w:pgSz w:w="11910" w:h="16840"/>
      <w:pgMar w:top="100" w:bottom="280" w:left="5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"/>
      <w:lvlJc w:val="left"/>
      <w:pPr>
        <w:ind w:left="1012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>
      <w:start w:val="0"/>
      <w:numFmt w:val="bullet"/>
      <w:lvlText w:val="•"/>
      <w:lvlJc w:val="left"/>
      <w:pPr>
        <w:ind w:left="2010" w:hanging="361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3001" w:hanging="361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3991" w:hanging="361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982" w:hanging="361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973" w:hanging="361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963" w:hanging="361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7954" w:hanging="361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8945" w:hanging="361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bg-BG" w:eastAsia="en-US" w:bidi="ar-SA"/>
    </w:rPr>
  </w:style>
  <w:style w:styleId="BodyText" w:type="paragraph">
    <w:name w:val="Body Text"/>
    <w:basedOn w:val="Normal"/>
    <w:uiPriority w:val="1"/>
    <w:qFormat/>
    <w:pPr>
      <w:ind w:left="1012" w:hanging="361"/>
    </w:pPr>
    <w:rPr>
      <w:rFonts w:ascii="Times New Roman" w:hAnsi="Times New Roman" w:eastAsia="Times New Roman" w:cs="Times New Roman"/>
      <w:sz w:val="22"/>
      <w:szCs w:val="22"/>
      <w:lang w:val="bg-BG" w:eastAsia="en-US" w:bidi="ar-SA"/>
    </w:rPr>
  </w:style>
  <w:style w:styleId="Title" w:type="paragraph">
    <w:name w:val="Title"/>
    <w:basedOn w:val="Normal"/>
    <w:uiPriority w:val="1"/>
    <w:qFormat/>
    <w:pPr>
      <w:spacing w:before="124"/>
      <w:ind w:left="481"/>
      <w:jc w:val="center"/>
    </w:pPr>
    <w:rPr>
      <w:rFonts w:ascii="Times New Roman" w:hAnsi="Times New Roman" w:eastAsia="Times New Roman" w:cs="Times New Roman"/>
      <w:i/>
      <w:iCs/>
      <w:sz w:val="24"/>
      <w:szCs w:val="24"/>
      <w:u w:val="single" w:color="000000"/>
      <w:lang w:val="bg-BG" w:eastAsia="en-US" w:bidi="ar-SA"/>
    </w:rPr>
  </w:style>
  <w:style w:styleId="ListParagraph" w:type="paragraph">
    <w:name w:val="List Paragraph"/>
    <w:basedOn w:val="Normal"/>
    <w:uiPriority w:val="1"/>
    <w:qFormat/>
    <w:pPr>
      <w:ind w:left="1012" w:hanging="361"/>
    </w:pPr>
    <w:rPr>
      <w:rFonts w:ascii="Times New Roman" w:hAnsi="Times New Roman" w:eastAsia="Times New Roman" w:cs="Times New Roman"/>
      <w:lang w:val="bg-BG" w:eastAsia="en-US" w:bidi="ar-SA"/>
    </w:rPr>
  </w:style>
  <w:style w:styleId="TableParagraph" w:type="paragraph">
    <w:name w:val="Table Paragraph"/>
    <w:basedOn w:val="Normal"/>
    <w:uiPriority w:val="1"/>
    <w:qFormat/>
    <w:pPr>
      <w:spacing w:before="57"/>
      <w:ind w:left="5"/>
      <w:jc w:val="center"/>
    </w:pPr>
    <w:rPr>
      <w:rFonts w:ascii="Times New Roman" w:hAnsi="Times New Roman" w:eastAsia="Times New Roman" w:cs="Times New Roman"/>
      <w:lang w:val="bg-BG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http://eur-lex.europa.eu/BG/legal-content/glossary/climate-action.html" TargetMode="External"/><Relationship Id="rId9" Type="http://schemas.openxmlformats.org/officeDocument/2006/relationships/image" Target="media/image4.png"/><Relationship Id="rId10" Type="http://schemas.openxmlformats.org/officeDocument/2006/relationships/hyperlink" Target="http://www.eufunds.bg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Elicons Ltd</dc:creator>
  <dcterms:created xsi:type="dcterms:W3CDTF">2024-10-24T04:50:58Z</dcterms:created>
  <dcterms:modified xsi:type="dcterms:W3CDTF">2024-10-24T04:50:58Z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2024-10-24T00:00:00Z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D:20241023134914</vt:lpwstr>
  </property>
</Properties>
</file>